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7A" w:rsidRDefault="00DD1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1"/>
        <w:tblW w:w="1026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425"/>
      </w:tblGrid>
      <w:tr w:rsidR="00DD1B7A" w:rsidRPr="002A4E29">
        <w:tc>
          <w:tcPr>
            <w:tcW w:w="2835" w:type="dxa"/>
            <w:shd w:val="clear" w:color="auto" w:fill="auto"/>
          </w:tcPr>
          <w:p w:rsidR="00DD1B7A" w:rsidRDefault="00C57D9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Departamentas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Pr="002A4E29" w:rsidRDefault="00C57D9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Akademinis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humanitarinių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menų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departamentas</w:t>
            </w:r>
            <w:proofErr w:type="spellEnd"/>
          </w:p>
        </w:tc>
      </w:tr>
      <w:tr w:rsidR="00DD1B7A">
        <w:tc>
          <w:tcPr>
            <w:tcW w:w="2835" w:type="dxa"/>
            <w:shd w:val="clear" w:color="auto" w:fill="auto"/>
          </w:tcPr>
          <w:p w:rsidR="00DD1B7A" w:rsidRDefault="00C57D9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Pareigos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Default="009C09FC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Lektorius,PhD</w:t>
            </w:r>
            <w:proofErr w:type="spellEnd"/>
            <w:r w:rsidR="00C57D9E">
              <w:rPr>
                <w:rFonts w:ascii="Times New Roman" w:eastAsia="Times New Roman" w:hAnsi="Times New Roman"/>
                <w:sz w:val="24"/>
                <w:szCs w:val="24"/>
              </w:rPr>
              <w:t>, 0,5 FTE</w:t>
            </w:r>
          </w:p>
        </w:tc>
      </w:tr>
      <w:tr w:rsidR="00DD1B7A" w:rsidRPr="009C09FC">
        <w:tc>
          <w:tcPr>
            <w:tcW w:w="2835" w:type="dxa"/>
            <w:shd w:val="clear" w:color="auto" w:fill="auto"/>
          </w:tcPr>
          <w:p w:rsidR="00DD1B7A" w:rsidRPr="002A4E29" w:rsidRDefault="00C57D9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  <w:lang w:val="en-US"/>
              </w:rPr>
            </w:pP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Mokslinės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pedagoginės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profilis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tematika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Pr="009C09FC" w:rsidRDefault="009C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Teatro</w:t>
            </w:r>
            <w:proofErr w:type="spellEnd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menas</w:t>
            </w:r>
            <w:proofErr w:type="spellEnd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teatrologija</w:t>
            </w:r>
            <w:proofErr w:type="spellEnd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teatro</w:t>
            </w:r>
            <w:proofErr w:type="spellEnd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istorija</w:t>
            </w:r>
            <w:proofErr w:type="spellEnd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ir</w:t>
            </w:r>
            <w:proofErr w:type="spellEnd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teorija</w:t>
            </w:r>
            <w:proofErr w:type="spellEnd"/>
          </w:p>
        </w:tc>
      </w:tr>
      <w:tr w:rsidR="00DD1B7A" w:rsidRPr="002A4E29">
        <w:trPr>
          <w:trHeight w:val="1412"/>
        </w:trPr>
        <w:tc>
          <w:tcPr>
            <w:tcW w:w="2835" w:type="dxa"/>
            <w:shd w:val="clear" w:color="auto" w:fill="auto"/>
          </w:tcPr>
          <w:p w:rsidR="00DD1B7A" w:rsidRDefault="00C57D9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Bendrieji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Default="00C57D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keliami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Europos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Humanitarinio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Universiteto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kvalifikacinių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darbuotojams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konkursų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skelbimo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atestavimo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tvarka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“,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patvirtinta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2021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birželio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 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įsakymu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01-45)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https://ru.ehu.lt/wp-content/uploads</w:t>
              </w:r>
              <w:proofErr w:type="gramEnd"/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/2021/06/01-45_Konkursu-ir-atestacijos-tvarka_2021-galutine-redakcija_LT-1.pdf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D1B7A" w:rsidRDefault="00C57D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Dėstymo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kalba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anglų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rusų</w:t>
            </w:r>
            <w:proofErr w:type="spellEnd"/>
          </w:p>
          <w:p w:rsidR="00DD1B7A" w:rsidRDefault="00C57D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Lietuva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D1B7A" w:rsidRDefault="00C57D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lantagenet Cherokee" w:eastAsia="Plantagenet Cherokee" w:hAnsi="Plantagenet Cherokee" w:cs="Plantagenet Cherokee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Mokslinių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publikacijų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kūrybinių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sąrašas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DD1B7A" w:rsidRPr="002A4E29" w:rsidRDefault="00C57D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planas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detalus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metams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preliminarus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orientacinis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3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metams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).</w:t>
            </w:r>
          </w:p>
        </w:tc>
      </w:tr>
      <w:tr w:rsidR="00DD1B7A" w:rsidRPr="002A4E29">
        <w:tc>
          <w:tcPr>
            <w:tcW w:w="2835" w:type="dxa"/>
            <w:shd w:val="clear" w:color="auto" w:fill="auto"/>
          </w:tcPr>
          <w:p w:rsidR="00DD1B7A" w:rsidRDefault="00C57D9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Specialieji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9C09FC" w:rsidRPr="009C09FC" w:rsidRDefault="009C09FC" w:rsidP="009C09FC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</w:t>
            </w:r>
            <w:r w:rsidRPr="009C09FC">
              <w:rPr>
                <w:sz w:val="24"/>
                <w:szCs w:val="24"/>
                <w:lang w:val="en-US"/>
              </w:rPr>
              <w:t>Dėstymo</w:t>
            </w:r>
            <w:proofErr w:type="gram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užsienio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universitetuose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patirtis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>.</w:t>
            </w:r>
          </w:p>
          <w:p w:rsidR="009C09FC" w:rsidRPr="009C09FC" w:rsidRDefault="009C09FC" w:rsidP="009C09FC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9C09FC">
              <w:rPr>
                <w:sz w:val="24"/>
                <w:szCs w:val="24"/>
                <w:lang w:val="en-US"/>
              </w:rPr>
              <w:t>2.Patirtis</w:t>
            </w:r>
            <w:proofErr w:type="gram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įgyvendinant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organizuojant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tarptautinius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kūrybinius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projektus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viešas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paskaitas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>.</w:t>
            </w:r>
          </w:p>
          <w:p w:rsidR="009C09FC" w:rsidRPr="009C09FC" w:rsidRDefault="009C09FC" w:rsidP="009C09FC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 w:rsidRPr="009C09FC">
              <w:rPr>
                <w:sz w:val="24"/>
                <w:szCs w:val="24"/>
                <w:lang w:val="en-US"/>
              </w:rPr>
              <w:t xml:space="preserve">Dalyvavimas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tarptautinėse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mokslinėse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stažuotėse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mainų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programose</w:t>
            </w:r>
            <w:proofErr w:type="spellEnd"/>
          </w:p>
          <w:p w:rsidR="00DD1B7A" w:rsidRPr="002A4E29" w:rsidRDefault="009C09FC" w:rsidP="009C09FC">
            <w:pPr>
              <w:spacing w:after="0" w:line="240" w:lineRule="auto"/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9C09FC">
              <w:rPr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Redakcinės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leidybos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veiklos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09FC">
              <w:rPr>
                <w:sz w:val="24"/>
                <w:szCs w:val="24"/>
                <w:lang w:val="en-US"/>
              </w:rPr>
              <w:t>patirtis</w:t>
            </w:r>
            <w:proofErr w:type="spellEnd"/>
            <w:r w:rsidRPr="009C09FC">
              <w:rPr>
                <w:sz w:val="24"/>
                <w:szCs w:val="24"/>
                <w:lang w:val="en-US"/>
              </w:rPr>
              <w:t>.</w:t>
            </w:r>
          </w:p>
        </w:tc>
      </w:tr>
      <w:tr w:rsidR="00DD1B7A" w:rsidRPr="002A4E29">
        <w:trPr>
          <w:trHeight w:val="323"/>
        </w:trPr>
        <w:tc>
          <w:tcPr>
            <w:tcW w:w="2835" w:type="dxa"/>
            <w:shd w:val="clear" w:color="auto" w:fill="auto"/>
          </w:tcPr>
          <w:p w:rsidR="00DD1B7A" w:rsidRDefault="00C5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Pranašumas</w:t>
            </w:r>
            <w:proofErr w:type="spellEnd"/>
          </w:p>
        </w:tc>
        <w:tc>
          <w:tcPr>
            <w:tcW w:w="7425" w:type="dxa"/>
            <w:shd w:val="clear" w:color="auto" w:fill="auto"/>
          </w:tcPr>
          <w:p w:rsidR="00DD1B7A" w:rsidRDefault="00C57D9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Darbo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patirtis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09F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Moodle</w:t>
            </w:r>
            <w:proofErr w:type="spellEnd"/>
            <w:r w:rsidR="009C09F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(pageidautina)</w:t>
            </w:r>
          </w:p>
          <w:p w:rsidR="00DD1B7A" w:rsidRPr="002A4E29" w:rsidRDefault="009C09FC" w:rsidP="009C09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Baltarusių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lenkų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kalbos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žinios</w:t>
            </w:r>
            <w:proofErr w:type="spellEnd"/>
          </w:p>
        </w:tc>
      </w:tr>
      <w:tr w:rsidR="00DD1B7A" w:rsidRPr="002A4E29">
        <w:tc>
          <w:tcPr>
            <w:tcW w:w="2835" w:type="dxa"/>
            <w:shd w:val="clear" w:color="auto" w:fill="auto"/>
          </w:tcPr>
          <w:p w:rsidR="00DD1B7A" w:rsidRDefault="00C57D9E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Pareiginiai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reikalavimai</w:t>
            </w:r>
            <w:proofErr w:type="spellEnd"/>
          </w:p>
          <w:p w:rsidR="00DD1B7A" w:rsidRDefault="00DD1B7A">
            <w:pPr>
              <w:spacing w:after="0" w:line="240" w:lineRule="auto"/>
              <w:rPr>
                <w:rFonts w:ascii="Plantagenet Cherokee" w:eastAsia="Plantagenet Cherokee" w:hAnsi="Plantagenet Cherokee" w:cs="Plantagenet Cherokee"/>
                <w:sz w:val="24"/>
                <w:szCs w:val="24"/>
              </w:rPr>
            </w:pPr>
          </w:p>
        </w:tc>
        <w:tc>
          <w:tcPr>
            <w:tcW w:w="7425" w:type="dxa"/>
            <w:shd w:val="clear" w:color="auto" w:fill="auto"/>
          </w:tcPr>
          <w:p w:rsidR="00DD1B7A" w:rsidRPr="002A4E29" w:rsidRDefault="00C57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0" w:name="_heading=h.psrzg6jig2qg" w:colFirst="0" w:colLast="0"/>
            <w:bookmarkEnd w:id="0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1. 0</w:t>
            </w:r>
            <w:proofErr w:type="gram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,5</w:t>
            </w:r>
            <w:proofErr w:type="gram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etato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krūvis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– 765 val. 400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valandų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yra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kontaktinio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nekontaktinio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studentais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valandos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Kūrybinei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meninei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veiklai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susijusiai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programos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vizualinio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dizaino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eksperimentinės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plėtros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socialinės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kultūrinės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krypties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tokios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rezultatų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publikavimu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taip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pat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metodiniam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kvalifikacijos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kėlimui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organizaciniam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įgyvendinti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skiriamos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365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valandos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DD1B7A" w:rsidRPr="002A4E29" w:rsidRDefault="00C57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1" w:name="_heading=h.sdl5ppjdl6c9" w:colFirst="0" w:colLast="0"/>
            <w:bookmarkEnd w:id="1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Kvalifikacinių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reikalavimų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keliamų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humanitarinių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socialinių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dėstytojams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darbuotoj</w:t>
            </w: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95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punktas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(„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Europos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Humanitarinio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Universiteto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kvalifikacinių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atestacijos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reikalavimų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dėstytojams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darbuotojams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nustatymo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konkursų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į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darbuotojų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pareigas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skelbimo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organizavimo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vykdymo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dėstytojų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darbuot</w:t>
            </w: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ojų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atestavimo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tvarka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“,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patvirtinta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2021 m.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birželio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d.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įsakymu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Nr. 01-45)</w:t>
            </w:r>
          </w:p>
          <w:p w:rsidR="00DD1B7A" w:rsidRPr="002A4E29" w:rsidRDefault="00C57D9E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8">
              <w:r w:rsidRPr="002A4E29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https://ru.ehu.lt/wp-content/uploads/2021/06/</w:t>
              </w:r>
              <w:r w:rsidRPr="002A4E29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lang w:val="en-US"/>
                </w:rPr>
                <w:t>01-45_Konkursu-ir-atestacijos-tvarka_2021-galutine-redakcija_LT-1.pdf</w:t>
              </w:r>
            </w:hyperlink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D1B7A" w:rsidRPr="002A4E29" w:rsidRDefault="00C57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3.Gebėjimas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rengti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įgyvendinti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tobulinti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įvairaus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lygio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edukacines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programas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bakalauro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magistro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inicijuoti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mokslinius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kūrybinius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projektus</w:t>
            </w:r>
            <w:proofErr w:type="spellEnd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kuruoti</w:t>
            </w:r>
            <w:proofErr w:type="spellEnd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departamentokūrubinę</w:t>
            </w:r>
            <w:proofErr w:type="spellEnd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veiklą</w:t>
            </w:r>
            <w:proofErr w:type="spellEnd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tarpdisciplininius</w:t>
            </w:r>
            <w:proofErr w:type="spellEnd"/>
            <w:r w:rsidR="009C09F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tyrimus</w:t>
            </w:r>
            <w:bookmarkStart w:id="2" w:name="_GoBack"/>
            <w:bookmarkEnd w:id="2"/>
          </w:p>
          <w:p w:rsidR="00DD1B7A" w:rsidRPr="002A4E29" w:rsidRDefault="00C57D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Vadovauti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bakalauro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studentų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</w:t>
            </w:r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stymui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meninei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veiklai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moksliniams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tyrimams</w:t>
            </w:r>
            <w:proofErr w:type="spellEnd"/>
            <w:r w:rsidRPr="002A4E2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DD1B7A" w:rsidRPr="002A4E29" w:rsidRDefault="00DD1B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D1B7A" w:rsidRPr="002A4E29" w:rsidRDefault="00DD1B7A">
      <w:pPr>
        <w:rPr>
          <w:lang w:val="en-US"/>
        </w:rPr>
      </w:pPr>
    </w:p>
    <w:sectPr w:rsidR="00DD1B7A" w:rsidRPr="002A4E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lantagenet Cheroke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5CB4"/>
    <w:multiLevelType w:val="multilevel"/>
    <w:tmpl w:val="5E36D6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FA2CF6"/>
    <w:multiLevelType w:val="multilevel"/>
    <w:tmpl w:val="322AEE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7AD2591"/>
    <w:multiLevelType w:val="multilevel"/>
    <w:tmpl w:val="CEEAA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0FF3B1D"/>
    <w:multiLevelType w:val="multilevel"/>
    <w:tmpl w:val="EA5A0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1B7A"/>
    <w:rsid w:val="002A4E29"/>
    <w:rsid w:val="009C09FC"/>
    <w:rsid w:val="00C57D9E"/>
    <w:rsid w:val="00D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5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B3959"/>
    <w:pPr>
      <w:ind w:left="720"/>
      <w:contextualSpacing/>
    </w:pPr>
    <w:rPr>
      <w:lang w:val="en-US"/>
    </w:rPr>
  </w:style>
  <w:style w:type="character" w:customStyle="1" w:styleId="hps">
    <w:name w:val="hps"/>
    <w:rsid w:val="000B3959"/>
  </w:style>
  <w:style w:type="character" w:customStyle="1" w:styleId="fontstyle01">
    <w:name w:val="fontstyle01"/>
    <w:basedOn w:val="DefaultParagraphFont"/>
    <w:rsid w:val="003A0D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3EA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ehu.lt/wp-content/uploads/2021/06/01-45_Konkursu-ir-atestacijos-tvarka_2021-galutine-redakcija_LT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ehu.lt/wp-content/uploads/2021/06/01-45_Konkursu-ir-atestacijos-tvarka_2021-galutine-redakcija_LT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fHBpctjvrhnd9dcDnqhX6MNhA==">CgMxLjAyDmgucHNyemc2amlnMnFnMg5oLnNkbDVwcGpkbDZjOTgAciExeWlZaDlWREZqOTgzRk00V0pZcmxzTERYMVBhV0M0MFM=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Dalia Kaminskaitė</cp:lastModifiedBy>
  <cp:revision>2</cp:revision>
  <dcterms:created xsi:type="dcterms:W3CDTF">2024-05-02T12:47:00Z</dcterms:created>
  <dcterms:modified xsi:type="dcterms:W3CDTF">2024-05-02T12:47:00Z</dcterms:modified>
</cp:coreProperties>
</file>